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3F" w:rsidRDefault="0050533F" w:rsidP="0050533F">
      <w:pPr>
        <w:keepNext/>
        <w:outlineLvl w:val="1"/>
        <w:rPr>
          <w:b/>
          <w:i w:val="0"/>
          <w:szCs w:val="28"/>
        </w:rPr>
      </w:pPr>
    </w:p>
    <w:p w:rsidR="0050533F" w:rsidRDefault="0050533F" w:rsidP="0050533F">
      <w:pPr>
        <w:keepNext/>
        <w:outlineLvl w:val="1"/>
        <w:rPr>
          <w:b/>
          <w:i w:val="0"/>
          <w:szCs w:val="28"/>
        </w:rPr>
      </w:pPr>
    </w:p>
    <w:p w:rsidR="0050533F" w:rsidRDefault="00170818" w:rsidP="0050533F">
      <w:pPr>
        <w:keepNext/>
        <w:outlineLvl w:val="1"/>
        <w:rPr>
          <w:b/>
          <w:i w:val="0"/>
          <w:szCs w:val="28"/>
        </w:rPr>
      </w:pPr>
      <w:r w:rsidRPr="001708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1pt;margin-top:-35.5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18459997" r:id="rId5"/>
        </w:pict>
      </w:r>
    </w:p>
    <w:p w:rsidR="0050533F" w:rsidRDefault="0050533F" w:rsidP="0050533F">
      <w:pPr>
        <w:tabs>
          <w:tab w:val="center" w:pos="4677"/>
          <w:tab w:val="left" w:pos="6674"/>
        </w:tabs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РОССИЙСКАЯ ФЕДЕРАЦИЯ</w:t>
      </w:r>
    </w:p>
    <w:p w:rsidR="0050533F" w:rsidRDefault="0050533F" w:rsidP="0050533F"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Новгородская область Новгородский район</w:t>
      </w:r>
    </w:p>
    <w:p w:rsidR="0050533F" w:rsidRDefault="0050533F" w:rsidP="0050533F"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Администрация Тёсово-Нетыльского сельского поселения</w:t>
      </w:r>
    </w:p>
    <w:p w:rsidR="0050533F" w:rsidRDefault="0050533F" w:rsidP="0050533F">
      <w:pPr>
        <w:jc w:val="center"/>
        <w:rPr>
          <w:b/>
          <w:i w:val="0"/>
          <w:szCs w:val="28"/>
        </w:rPr>
      </w:pPr>
    </w:p>
    <w:p w:rsidR="0050533F" w:rsidRDefault="0050533F" w:rsidP="0050533F"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РАСПОРЯЖЕНИЕ</w:t>
      </w:r>
    </w:p>
    <w:p w:rsidR="0050533F" w:rsidRDefault="0050533F" w:rsidP="0050533F">
      <w:pPr>
        <w:jc w:val="center"/>
        <w:rPr>
          <w:b/>
          <w:i w:val="0"/>
          <w:szCs w:val="28"/>
        </w:rPr>
      </w:pPr>
    </w:p>
    <w:p w:rsidR="0050533F" w:rsidRDefault="0050533F" w:rsidP="0050533F">
      <w:pPr>
        <w:jc w:val="center"/>
        <w:rPr>
          <w:b/>
          <w:i w:val="0"/>
          <w:szCs w:val="28"/>
        </w:rPr>
      </w:pPr>
    </w:p>
    <w:p w:rsidR="0050533F" w:rsidRDefault="00324FC7" w:rsidP="0050533F">
      <w:pPr>
        <w:rPr>
          <w:i w:val="0"/>
          <w:szCs w:val="28"/>
        </w:rPr>
      </w:pPr>
      <w:r>
        <w:rPr>
          <w:i w:val="0"/>
          <w:szCs w:val="28"/>
        </w:rPr>
        <w:t>от  05.07</w:t>
      </w:r>
      <w:r w:rsidR="0005553A">
        <w:rPr>
          <w:i w:val="0"/>
          <w:szCs w:val="28"/>
        </w:rPr>
        <w:t>. 202</w:t>
      </w:r>
      <w:r>
        <w:rPr>
          <w:i w:val="0"/>
          <w:szCs w:val="28"/>
        </w:rPr>
        <w:t>2</w:t>
      </w:r>
      <w:r w:rsidR="00AD7B74">
        <w:rPr>
          <w:i w:val="0"/>
          <w:szCs w:val="28"/>
        </w:rPr>
        <w:t xml:space="preserve"> № 21</w:t>
      </w:r>
      <w:r w:rsidR="0050533F">
        <w:rPr>
          <w:i w:val="0"/>
          <w:szCs w:val="28"/>
        </w:rPr>
        <w:t>-рг</w:t>
      </w:r>
    </w:p>
    <w:p w:rsidR="0050533F" w:rsidRDefault="0050533F" w:rsidP="0050533F">
      <w:pPr>
        <w:rPr>
          <w:i w:val="0"/>
          <w:szCs w:val="28"/>
        </w:rPr>
      </w:pPr>
      <w:r>
        <w:rPr>
          <w:i w:val="0"/>
          <w:szCs w:val="28"/>
        </w:rPr>
        <w:t>п. Тёсово-Нетыльский</w:t>
      </w:r>
    </w:p>
    <w:p w:rsidR="0050533F" w:rsidRDefault="0050533F" w:rsidP="0050533F">
      <w:pPr>
        <w:keepNext/>
        <w:outlineLvl w:val="1"/>
        <w:rPr>
          <w:b/>
          <w:i w:val="0"/>
          <w:szCs w:val="28"/>
        </w:rPr>
      </w:pPr>
    </w:p>
    <w:p w:rsidR="0050533F" w:rsidRDefault="0050533F" w:rsidP="0050533F">
      <w:pPr>
        <w:keepNext/>
        <w:outlineLvl w:val="1"/>
        <w:rPr>
          <w:b/>
          <w:i w:val="0"/>
          <w:szCs w:val="28"/>
        </w:rPr>
      </w:pPr>
      <w:r>
        <w:rPr>
          <w:b/>
          <w:i w:val="0"/>
          <w:szCs w:val="28"/>
        </w:rPr>
        <w:t>О местах для размещения печатных</w:t>
      </w:r>
    </w:p>
    <w:p w:rsidR="0050533F" w:rsidRDefault="0050533F" w:rsidP="0050533F">
      <w:pPr>
        <w:rPr>
          <w:i w:val="0"/>
          <w:sz w:val="20"/>
        </w:rPr>
      </w:pPr>
      <w:r>
        <w:rPr>
          <w:b/>
          <w:i w:val="0"/>
          <w:szCs w:val="28"/>
        </w:rPr>
        <w:t xml:space="preserve">агитационных материалов </w:t>
      </w:r>
    </w:p>
    <w:p w:rsidR="0050533F" w:rsidRDefault="0050533F" w:rsidP="0050533F">
      <w:pPr>
        <w:spacing w:line="240" w:lineRule="exact"/>
        <w:jc w:val="both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</w:t>
      </w:r>
    </w:p>
    <w:p w:rsidR="0050533F" w:rsidRPr="000E337D" w:rsidRDefault="000E337D" w:rsidP="000E337D">
      <w:pPr>
        <w:suppressAutoHyphens/>
        <w:autoSpaceDE w:val="0"/>
        <w:autoSpaceDN w:val="0"/>
        <w:adjustRightInd w:val="0"/>
        <w:ind w:firstLine="567"/>
        <w:jc w:val="both"/>
        <w:rPr>
          <w:bCs/>
          <w:i w:val="0"/>
          <w:szCs w:val="28"/>
        </w:rPr>
      </w:pPr>
      <w:r w:rsidRPr="000E337D">
        <w:rPr>
          <w:i w:val="0"/>
          <w:szCs w:val="28"/>
        </w:rPr>
        <w:t>В соответствии</w:t>
      </w:r>
      <w:r w:rsidR="00C5785D">
        <w:rPr>
          <w:i w:val="0"/>
          <w:szCs w:val="28"/>
        </w:rPr>
        <w:t xml:space="preserve"> с п.7  ст. 50</w:t>
      </w:r>
      <w:r w:rsidRPr="000E337D">
        <w:rPr>
          <w:i w:val="0"/>
          <w:szCs w:val="28"/>
        </w:rPr>
        <w:t xml:space="preserve"> </w:t>
      </w:r>
      <w:r w:rsidR="00C5785D">
        <w:rPr>
          <w:bCs/>
          <w:i w:val="0"/>
          <w:szCs w:val="28"/>
        </w:rPr>
        <w:t>областного закона от 30.05.2012 № 75-ОЗ "О выборах Губернатора Новгородской области</w:t>
      </w:r>
      <w:r w:rsidRPr="000E337D">
        <w:rPr>
          <w:bCs/>
          <w:i w:val="0"/>
          <w:szCs w:val="28"/>
        </w:rPr>
        <w:t>"</w:t>
      </w:r>
      <w:r w:rsidR="00AD7B74">
        <w:rPr>
          <w:bCs/>
          <w:i w:val="0"/>
          <w:szCs w:val="28"/>
        </w:rPr>
        <w:t>:</w:t>
      </w:r>
      <w:r w:rsidRPr="000E337D">
        <w:rPr>
          <w:i w:val="0"/>
          <w:szCs w:val="28"/>
        </w:rPr>
        <w:t xml:space="preserve"> </w:t>
      </w:r>
    </w:p>
    <w:p w:rsidR="0050533F" w:rsidRDefault="0050533F" w:rsidP="0050533F">
      <w:pPr>
        <w:ind w:firstLine="567"/>
        <w:jc w:val="both"/>
        <w:outlineLvl w:val="4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>1</w:t>
      </w:r>
      <w:r>
        <w:rPr>
          <w:b/>
          <w:color w:val="000000"/>
          <w:szCs w:val="28"/>
        </w:rPr>
        <w:t xml:space="preserve">. </w:t>
      </w:r>
      <w:r>
        <w:rPr>
          <w:i w:val="0"/>
          <w:color w:val="000000"/>
          <w:szCs w:val="28"/>
        </w:rPr>
        <w:t xml:space="preserve">Утвердить прилагаемый список специальных мест для размещения печатных агитационных материалов кандидатов </w:t>
      </w:r>
      <w:r>
        <w:rPr>
          <w:rFonts w:cs="Calibri"/>
          <w:i w:val="0"/>
          <w:szCs w:val="28"/>
        </w:rPr>
        <w:t>в п</w:t>
      </w:r>
      <w:r w:rsidR="00925F56">
        <w:rPr>
          <w:rFonts w:cs="Calibri"/>
          <w:i w:val="0"/>
          <w:szCs w:val="28"/>
        </w:rPr>
        <w:t xml:space="preserve">ериод проведения  </w:t>
      </w:r>
      <w:r>
        <w:rPr>
          <w:rFonts w:cs="Calibri"/>
          <w:i w:val="0"/>
          <w:szCs w:val="28"/>
        </w:rPr>
        <w:t xml:space="preserve"> выборов</w:t>
      </w:r>
      <w:r w:rsidR="00C5785D" w:rsidRPr="00C5785D">
        <w:rPr>
          <w:bCs/>
          <w:i w:val="0"/>
          <w:szCs w:val="28"/>
        </w:rPr>
        <w:t xml:space="preserve"> </w:t>
      </w:r>
      <w:r w:rsidR="00C5785D">
        <w:rPr>
          <w:bCs/>
          <w:i w:val="0"/>
          <w:szCs w:val="28"/>
        </w:rPr>
        <w:t>Губернатора Новгородской области</w:t>
      </w:r>
      <w:r>
        <w:rPr>
          <w:rFonts w:cs="Calibri"/>
          <w:i w:val="0"/>
          <w:szCs w:val="28"/>
        </w:rPr>
        <w:t xml:space="preserve"> </w:t>
      </w:r>
      <w:r>
        <w:rPr>
          <w:i w:val="0"/>
          <w:color w:val="000000"/>
          <w:szCs w:val="28"/>
        </w:rPr>
        <w:t xml:space="preserve"> на территории избирательных участков, расположенных в границах Тёсово-Нетыльского  сельского поселения.</w:t>
      </w:r>
    </w:p>
    <w:p w:rsidR="0050533F" w:rsidRDefault="0050533F" w:rsidP="0050533F">
      <w:pPr>
        <w:ind w:firstLine="540"/>
        <w:jc w:val="both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>2. Направить настоящее распоряжение в Территориальную избирательную комиссию Новгородского района.</w:t>
      </w:r>
    </w:p>
    <w:p w:rsidR="0050533F" w:rsidRDefault="0050533F" w:rsidP="0050533F">
      <w:pPr>
        <w:jc w:val="both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       3. </w:t>
      </w:r>
      <w:r>
        <w:rPr>
          <w:i w:val="0"/>
        </w:rPr>
        <w:t xml:space="preserve">Опубликовать данное распоряжение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</w:t>
      </w:r>
      <w:r w:rsidR="00925F56">
        <w:rPr>
          <w:i w:val="0"/>
        </w:rPr>
        <w:t xml:space="preserve">общего пользования </w:t>
      </w:r>
      <w:r>
        <w:rPr>
          <w:i w:val="0"/>
        </w:rPr>
        <w:t xml:space="preserve">«Интернет» по адресу: </w:t>
      </w:r>
      <w:hyperlink r:id="rId6" w:history="1">
        <w:r w:rsidRPr="00925F56">
          <w:rPr>
            <w:rStyle w:val="a3"/>
            <w:i w:val="0"/>
            <w:color w:val="000000" w:themeColor="text1"/>
            <w:lang w:val="en-US"/>
          </w:rPr>
          <w:t>www</w:t>
        </w:r>
        <w:r w:rsidRPr="00925F56">
          <w:rPr>
            <w:rStyle w:val="a3"/>
            <w:i w:val="0"/>
            <w:color w:val="000000" w:themeColor="text1"/>
          </w:rPr>
          <w:t>.</w:t>
        </w:r>
        <w:proofErr w:type="spellStart"/>
        <w:r w:rsidRPr="00925F56">
          <w:rPr>
            <w:rStyle w:val="a3"/>
            <w:i w:val="0"/>
            <w:color w:val="000000" w:themeColor="text1"/>
            <w:lang w:val="en-US"/>
          </w:rPr>
          <w:t>tnadm</w:t>
        </w:r>
        <w:proofErr w:type="spellEnd"/>
      </w:hyperlink>
      <w:r w:rsidRPr="00925F56">
        <w:rPr>
          <w:i w:val="0"/>
          <w:color w:val="000000" w:themeColor="text1"/>
        </w:rPr>
        <w:t>.</w:t>
      </w:r>
      <w:proofErr w:type="spellStart"/>
      <w:r w:rsidRPr="00925F56">
        <w:rPr>
          <w:i w:val="0"/>
          <w:color w:val="000000" w:themeColor="text1"/>
          <w:lang w:val="en-US"/>
        </w:rPr>
        <w:t>ru</w:t>
      </w:r>
      <w:proofErr w:type="spellEnd"/>
      <w:r>
        <w:rPr>
          <w:i w:val="0"/>
        </w:rPr>
        <w:t>.</w:t>
      </w:r>
    </w:p>
    <w:p w:rsidR="0050533F" w:rsidRDefault="0050533F" w:rsidP="0050533F">
      <w:pPr>
        <w:shd w:val="clear" w:color="auto" w:fill="FFFFFF"/>
        <w:tabs>
          <w:tab w:val="left" w:pos="9034"/>
        </w:tabs>
        <w:ind w:firstLine="567"/>
        <w:jc w:val="both"/>
        <w:rPr>
          <w:i w:val="0"/>
          <w:color w:val="000000"/>
          <w:szCs w:val="28"/>
        </w:rPr>
      </w:pPr>
    </w:p>
    <w:p w:rsidR="0050533F" w:rsidRDefault="0050533F" w:rsidP="0050533F">
      <w:pPr>
        <w:jc w:val="both"/>
        <w:rPr>
          <w:i w:val="0"/>
          <w:szCs w:val="28"/>
        </w:rPr>
      </w:pPr>
    </w:p>
    <w:p w:rsidR="0050533F" w:rsidRDefault="0050533F" w:rsidP="0050533F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Глава сельского поселения                                                   </w:t>
      </w:r>
      <w:r w:rsidR="005C2997">
        <w:rPr>
          <w:i w:val="0"/>
          <w:szCs w:val="28"/>
        </w:rPr>
        <w:t xml:space="preserve">          </w:t>
      </w:r>
      <w:r>
        <w:rPr>
          <w:i w:val="0"/>
          <w:szCs w:val="28"/>
        </w:rPr>
        <w:t xml:space="preserve">  О.А.Мякина                                </w:t>
      </w:r>
    </w:p>
    <w:p w:rsidR="0050533F" w:rsidRDefault="0050533F" w:rsidP="0050533F">
      <w:pPr>
        <w:jc w:val="both"/>
        <w:rPr>
          <w:i w:val="0"/>
          <w:szCs w:val="28"/>
        </w:rPr>
      </w:pPr>
    </w:p>
    <w:p w:rsidR="0050533F" w:rsidRDefault="0050533F" w:rsidP="0050533F">
      <w:pPr>
        <w:rPr>
          <w:i w:val="0"/>
          <w:szCs w:val="28"/>
        </w:rPr>
      </w:pPr>
    </w:p>
    <w:p w:rsidR="0050533F" w:rsidRDefault="0050533F" w:rsidP="0050533F">
      <w:pPr>
        <w:rPr>
          <w:i w:val="0"/>
          <w:szCs w:val="28"/>
        </w:rPr>
      </w:pPr>
    </w:p>
    <w:p w:rsidR="0050533F" w:rsidRDefault="0050533F" w:rsidP="0050533F">
      <w:pPr>
        <w:spacing w:line="240" w:lineRule="exact"/>
        <w:ind w:left="284"/>
        <w:jc w:val="right"/>
        <w:rPr>
          <w:i w:val="0"/>
          <w:szCs w:val="28"/>
        </w:rPr>
      </w:pPr>
    </w:p>
    <w:p w:rsidR="0050533F" w:rsidRDefault="0050533F" w:rsidP="0050533F">
      <w:pPr>
        <w:spacing w:line="240" w:lineRule="exact"/>
        <w:ind w:left="284"/>
        <w:rPr>
          <w:i w:val="0"/>
          <w:szCs w:val="28"/>
        </w:rPr>
      </w:pPr>
      <w:r>
        <w:rPr>
          <w:i w:val="0"/>
          <w:szCs w:val="28"/>
        </w:rPr>
        <w:t xml:space="preserve">                                                                                </w:t>
      </w:r>
    </w:p>
    <w:p w:rsidR="0050533F" w:rsidRDefault="0050533F" w:rsidP="0050533F">
      <w:pPr>
        <w:spacing w:line="240" w:lineRule="exact"/>
        <w:ind w:left="284"/>
        <w:rPr>
          <w:i w:val="0"/>
          <w:szCs w:val="28"/>
        </w:rPr>
      </w:pPr>
    </w:p>
    <w:p w:rsidR="0050533F" w:rsidRDefault="0050533F" w:rsidP="0050533F">
      <w:pPr>
        <w:spacing w:line="240" w:lineRule="exact"/>
        <w:ind w:left="284"/>
        <w:rPr>
          <w:i w:val="0"/>
          <w:szCs w:val="28"/>
        </w:rPr>
      </w:pPr>
    </w:p>
    <w:p w:rsidR="0050533F" w:rsidRDefault="0050533F" w:rsidP="0050533F">
      <w:pPr>
        <w:spacing w:line="240" w:lineRule="exact"/>
        <w:ind w:left="284"/>
        <w:rPr>
          <w:i w:val="0"/>
          <w:szCs w:val="28"/>
        </w:rPr>
      </w:pPr>
    </w:p>
    <w:p w:rsidR="00324FC7" w:rsidRDefault="00324FC7" w:rsidP="0050533F">
      <w:pPr>
        <w:spacing w:line="240" w:lineRule="exact"/>
        <w:ind w:left="284"/>
        <w:rPr>
          <w:i w:val="0"/>
          <w:szCs w:val="28"/>
        </w:rPr>
      </w:pPr>
    </w:p>
    <w:p w:rsidR="00324FC7" w:rsidRDefault="00324FC7" w:rsidP="0050533F">
      <w:pPr>
        <w:spacing w:line="240" w:lineRule="exact"/>
        <w:ind w:left="284"/>
        <w:rPr>
          <w:i w:val="0"/>
          <w:szCs w:val="28"/>
        </w:rPr>
      </w:pPr>
    </w:p>
    <w:p w:rsidR="00324FC7" w:rsidRDefault="00324FC7" w:rsidP="0050533F">
      <w:pPr>
        <w:spacing w:line="240" w:lineRule="exact"/>
        <w:ind w:left="284"/>
        <w:rPr>
          <w:i w:val="0"/>
          <w:szCs w:val="28"/>
        </w:rPr>
      </w:pPr>
    </w:p>
    <w:p w:rsidR="00324FC7" w:rsidRDefault="00324FC7" w:rsidP="0050533F">
      <w:pPr>
        <w:spacing w:line="240" w:lineRule="exact"/>
        <w:ind w:left="284"/>
        <w:rPr>
          <w:i w:val="0"/>
          <w:szCs w:val="28"/>
        </w:rPr>
      </w:pPr>
    </w:p>
    <w:p w:rsidR="00324FC7" w:rsidRDefault="00324FC7" w:rsidP="0050533F">
      <w:pPr>
        <w:spacing w:line="240" w:lineRule="exact"/>
        <w:ind w:left="284"/>
        <w:rPr>
          <w:i w:val="0"/>
          <w:szCs w:val="28"/>
        </w:rPr>
      </w:pPr>
    </w:p>
    <w:p w:rsidR="00324FC7" w:rsidRDefault="00324FC7" w:rsidP="0050533F">
      <w:pPr>
        <w:spacing w:line="240" w:lineRule="exact"/>
        <w:ind w:left="284"/>
        <w:rPr>
          <w:i w:val="0"/>
          <w:szCs w:val="28"/>
        </w:rPr>
      </w:pPr>
    </w:p>
    <w:p w:rsidR="0050533F" w:rsidRDefault="0050533F" w:rsidP="0050533F">
      <w:pPr>
        <w:spacing w:line="240" w:lineRule="exact"/>
        <w:ind w:left="284"/>
        <w:rPr>
          <w:i w:val="0"/>
          <w:szCs w:val="28"/>
        </w:rPr>
      </w:pPr>
    </w:p>
    <w:p w:rsidR="001C72F6" w:rsidRDefault="0050533F" w:rsidP="0050533F">
      <w:pPr>
        <w:spacing w:line="240" w:lineRule="exact"/>
        <w:ind w:left="284"/>
        <w:rPr>
          <w:i w:val="0"/>
          <w:szCs w:val="28"/>
        </w:rPr>
      </w:pPr>
      <w:r>
        <w:rPr>
          <w:i w:val="0"/>
          <w:szCs w:val="28"/>
        </w:rPr>
        <w:lastRenderedPageBreak/>
        <w:t xml:space="preserve">                                                                                         </w:t>
      </w:r>
    </w:p>
    <w:p w:rsidR="0050533F" w:rsidRDefault="001C72F6" w:rsidP="0050533F">
      <w:pPr>
        <w:spacing w:line="240" w:lineRule="exact"/>
        <w:ind w:left="284"/>
        <w:rPr>
          <w:i w:val="0"/>
          <w:szCs w:val="28"/>
        </w:rPr>
      </w:pPr>
      <w:r>
        <w:rPr>
          <w:i w:val="0"/>
          <w:szCs w:val="28"/>
        </w:rPr>
        <w:t xml:space="preserve">                                                                                        </w:t>
      </w:r>
      <w:r w:rsidR="0050533F">
        <w:rPr>
          <w:i w:val="0"/>
          <w:szCs w:val="28"/>
        </w:rPr>
        <w:t xml:space="preserve"> </w:t>
      </w:r>
      <w:r w:rsidR="0050533F">
        <w:rPr>
          <w:i w:val="0"/>
        </w:rPr>
        <w:t>УТВЕРЖДЕН</w:t>
      </w:r>
    </w:p>
    <w:p w:rsidR="0050533F" w:rsidRDefault="0050533F" w:rsidP="0050533F">
      <w:pPr>
        <w:ind w:left="284"/>
        <w:jc w:val="right"/>
        <w:rPr>
          <w:i w:val="0"/>
        </w:rPr>
      </w:pPr>
      <w:r>
        <w:rPr>
          <w:i w:val="0"/>
        </w:rPr>
        <w:t>распоряжением Администрации</w:t>
      </w:r>
    </w:p>
    <w:p w:rsidR="0050533F" w:rsidRDefault="0050533F" w:rsidP="0050533F">
      <w:pPr>
        <w:ind w:left="284"/>
        <w:jc w:val="center"/>
        <w:rPr>
          <w:i w:val="0"/>
        </w:rPr>
      </w:pPr>
      <w:r>
        <w:rPr>
          <w:i w:val="0"/>
        </w:rPr>
        <w:t xml:space="preserve">                                                                  Тёсово-Нетыльского </w:t>
      </w:r>
    </w:p>
    <w:p w:rsidR="0050533F" w:rsidRDefault="0050533F" w:rsidP="0050533F">
      <w:pPr>
        <w:ind w:left="284"/>
        <w:jc w:val="center"/>
        <w:rPr>
          <w:i w:val="0"/>
        </w:rPr>
      </w:pPr>
      <w:r>
        <w:rPr>
          <w:i w:val="0"/>
        </w:rPr>
        <w:t xml:space="preserve">                                                                   сельского поселения </w:t>
      </w:r>
    </w:p>
    <w:p w:rsidR="0050533F" w:rsidRDefault="0050533F" w:rsidP="0050533F">
      <w:pPr>
        <w:ind w:left="284"/>
        <w:jc w:val="center"/>
        <w:rPr>
          <w:i w:val="0"/>
        </w:rPr>
      </w:pPr>
      <w:r>
        <w:rPr>
          <w:i w:val="0"/>
        </w:rPr>
        <w:t xml:space="preserve">                                       </w:t>
      </w:r>
      <w:r w:rsidR="00324FC7">
        <w:rPr>
          <w:i w:val="0"/>
        </w:rPr>
        <w:t xml:space="preserve">                           от 05.07.2022</w:t>
      </w:r>
      <w:r w:rsidR="00AD7B74">
        <w:rPr>
          <w:i w:val="0"/>
        </w:rPr>
        <w:t xml:space="preserve"> № 21</w:t>
      </w:r>
      <w:r w:rsidR="005C2997">
        <w:rPr>
          <w:i w:val="0"/>
        </w:rPr>
        <w:t xml:space="preserve"> </w:t>
      </w:r>
      <w:r>
        <w:rPr>
          <w:i w:val="0"/>
        </w:rPr>
        <w:t>-</w:t>
      </w:r>
      <w:proofErr w:type="spellStart"/>
      <w:r>
        <w:rPr>
          <w:i w:val="0"/>
        </w:rPr>
        <w:t>рг</w:t>
      </w:r>
      <w:proofErr w:type="spellEnd"/>
    </w:p>
    <w:p w:rsidR="0050533F" w:rsidRDefault="0050533F" w:rsidP="0050533F">
      <w:pPr>
        <w:jc w:val="right"/>
        <w:rPr>
          <w:i w:val="0"/>
        </w:rPr>
      </w:pPr>
    </w:p>
    <w:p w:rsidR="0050533F" w:rsidRDefault="0050533F" w:rsidP="0050533F">
      <w:pPr>
        <w:jc w:val="right"/>
        <w:rPr>
          <w:i w:val="0"/>
        </w:rPr>
      </w:pPr>
    </w:p>
    <w:p w:rsidR="0050533F" w:rsidRDefault="0050533F" w:rsidP="00324FC7">
      <w:pPr>
        <w:jc w:val="center"/>
        <w:rPr>
          <w:b/>
          <w:i w:val="0"/>
        </w:rPr>
      </w:pPr>
      <w:r>
        <w:rPr>
          <w:b/>
          <w:i w:val="0"/>
        </w:rPr>
        <w:t>СПИСОК</w:t>
      </w:r>
    </w:p>
    <w:p w:rsidR="00324FC7" w:rsidRDefault="0050533F" w:rsidP="00324FC7">
      <w:pPr>
        <w:ind w:firstLine="567"/>
        <w:jc w:val="center"/>
        <w:outlineLvl w:val="4"/>
        <w:rPr>
          <w:b/>
          <w:i w:val="0"/>
          <w:color w:val="000000"/>
          <w:szCs w:val="28"/>
        </w:rPr>
      </w:pPr>
      <w:r>
        <w:rPr>
          <w:b/>
          <w:i w:val="0"/>
          <w:color w:val="000000"/>
          <w:szCs w:val="28"/>
        </w:rPr>
        <w:t>специальных мест для размещения предвыборных печатных агитационных   материалов</w:t>
      </w:r>
      <w:r w:rsidR="00324FC7">
        <w:rPr>
          <w:b/>
          <w:i w:val="0"/>
          <w:color w:val="000000"/>
          <w:szCs w:val="28"/>
        </w:rPr>
        <w:t xml:space="preserve"> кандидатов в период проведения выборов Губернатора Новгородской области</w:t>
      </w:r>
      <w:r>
        <w:rPr>
          <w:b/>
          <w:i w:val="0"/>
          <w:color w:val="000000"/>
          <w:szCs w:val="28"/>
        </w:rPr>
        <w:t xml:space="preserve"> </w:t>
      </w:r>
      <w:r w:rsidR="00324FC7">
        <w:rPr>
          <w:rFonts w:cs="Calibri"/>
          <w:i w:val="0"/>
          <w:szCs w:val="28"/>
        </w:rPr>
        <w:t xml:space="preserve"> </w:t>
      </w:r>
      <w:r w:rsidR="00324FC7">
        <w:rPr>
          <w:i w:val="0"/>
          <w:color w:val="000000"/>
          <w:szCs w:val="28"/>
        </w:rPr>
        <w:t xml:space="preserve"> </w:t>
      </w:r>
      <w:r w:rsidR="00324FC7" w:rsidRPr="00324FC7">
        <w:rPr>
          <w:b/>
          <w:i w:val="0"/>
          <w:color w:val="000000"/>
          <w:szCs w:val="28"/>
        </w:rPr>
        <w:t xml:space="preserve">на территории избирательных участков, расположенных в границах </w:t>
      </w:r>
    </w:p>
    <w:p w:rsidR="00324FC7" w:rsidRPr="00324FC7" w:rsidRDefault="00324FC7" w:rsidP="00324FC7">
      <w:pPr>
        <w:ind w:firstLine="567"/>
        <w:jc w:val="center"/>
        <w:outlineLvl w:val="4"/>
        <w:rPr>
          <w:b/>
          <w:i w:val="0"/>
          <w:color w:val="000000"/>
          <w:szCs w:val="28"/>
        </w:rPr>
      </w:pPr>
      <w:r w:rsidRPr="00324FC7">
        <w:rPr>
          <w:b/>
          <w:i w:val="0"/>
          <w:color w:val="000000"/>
          <w:szCs w:val="28"/>
        </w:rPr>
        <w:t>Тёсово-Н</w:t>
      </w:r>
      <w:r>
        <w:rPr>
          <w:b/>
          <w:i w:val="0"/>
          <w:color w:val="000000"/>
          <w:szCs w:val="28"/>
        </w:rPr>
        <w:t>етыльского  сельского поселения</w:t>
      </w:r>
    </w:p>
    <w:p w:rsidR="0050533F" w:rsidRPr="005C2997" w:rsidRDefault="0050533F" w:rsidP="00324FC7">
      <w:pPr>
        <w:jc w:val="center"/>
        <w:rPr>
          <w:b/>
          <w:i w:val="0"/>
          <w:szCs w:val="28"/>
        </w:rPr>
      </w:pPr>
    </w:p>
    <w:p w:rsidR="0050533F" w:rsidRDefault="0050533F" w:rsidP="0050533F">
      <w:pPr>
        <w:spacing w:line="280" w:lineRule="exact"/>
        <w:jc w:val="center"/>
        <w:rPr>
          <w:i w:val="0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3825"/>
        <w:gridCol w:w="3825"/>
      </w:tblGrid>
      <w:tr w:rsidR="0050533F" w:rsidTr="0050533F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spacing w:line="240" w:lineRule="exact"/>
              <w:ind w:left="-142" w:right="-108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spacing w:line="240" w:lineRule="exact"/>
              <w:jc w:val="center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sz w:val="24"/>
                <w:szCs w:val="24"/>
              </w:rPr>
              <w:t>Месторасположение специального места для размещения предвыборных печатных агитационных материалов</w:t>
            </w:r>
          </w:p>
        </w:tc>
      </w:tr>
      <w:tr w:rsidR="0050533F" w:rsidTr="0050533F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rPr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sz w:val="24"/>
                <w:szCs w:val="24"/>
                <w:lang w:eastAsia="en-US"/>
              </w:rPr>
              <w:t>Адресная привязка</w:t>
            </w:r>
          </w:p>
        </w:tc>
      </w:tr>
      <w:tr w:rsidR="0050533F" w:rsidTr="0050533F"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33F" w:rsidRDefault="0050533F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jc w:val="center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jc w:val="center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3</w:t>
            </w:r>
          </w:p>
        </w:tc>
      </w:tr>
      <w:tr w:rsidR="0050533F" w:rsidTr="0050533F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jc w:val="center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1232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пос. Тёсово-Нетыльский,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ул. Советская д. №13 (у магазин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а ООО</w:t>
            </w:r>
            <w:proofErr w:type="gramEnd"/>
            <w:r>
              <w:rPr>
                <w:i w:val="0"/>
                <w:sz w:val="24"/>
                <w:szCs w:val="24"/>
                <w:lang w:eastAsia="en-US"/>
              </w:rPr>
              <w:t xml:space="preserve"> «Торговая фирма Тёсово-1»)</w:t>
            </w:r>
          </w:p>
        </w:tc>
      </w:tr>
      <w:tr w:rsidR="0050533F" w:rsidTr="0050533F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пос. Тёсово-Нетыльский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ул. Пионерская напротив д. № 6 </w:t>
            </w:r>
          </w:p>
        </w:tc>
      </w:tr>
      <w:tr w:rsidR="0050533F" w:rsidTr="0050533F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jc w:val="center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1233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пос. Тёсово-Нетыльский,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ул. Матросова д. № 11 (у 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здании</w:t>
            </w:r>
            <w:proofErr w:type="gramEnd"/>
            <w:r>
              <w:rPr>
                <w:i w:val="0"/>
                <w:sz w:val="24"/>
                <w:szCs w:val="24"/>
                <w:lang w:eastAsia="en-US"/>
              </w:rPr>
              <w:t xml:space="preserve"> Администрации) </w:t>
            </w:r>
          </w:p>
        </w:tc>
      </w:tr>
      <w:tr w:rsidR="0050533F" w:rsidTr="0050533F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пос. Тёсово-Нетыльский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Вокзальная</w:t>
            </w:r>
            <w:proofErr w:type="gramEnd"/>
            <w:r>
              <w:rPr>
                <w:i w:val="0"/>
                <w:sz w:val="24"/>
                <w:szCs w:val="24"/>
                <w:lang w:eastAsia="en-US"/>
              </w:rPr>
              <w:t xml:space="preserve"> около железнодорожного вокзала </w:t>
            </w:r>
          </w:p>
        </w:tc>
      </w:tr>
      <w:tr w:rsidR="0050533F" w:rsidTr="0050533F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i w:val="0"/>
                <w:sz w:val="24"/>
                <w:szCs w:val="24"/>
                <w:lang w:eastAsia="en-US"/>
              </w:rPr>
              <w:t>инёв</w:t>
            </w:r>
            <w:proofErr w:type="spellEnd"/>
            <w:r>
              <w:rPr>
                <w:i w:val="0"/>
                <w:sz w:val="24"/>
                <w:szCs w:val="24"/>
                <w:lang w:eastAsia="en-US"/>
              </w:rPr>
              <w:t xml:space="preserve"> Луг,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ул. Мелиоративная напротив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д. № 2</w:t>
            </w:r>
          </w:p>
        </w:tc>
      </w:tr>
      <w:tr w:rsidR="0050533F" w:rsidTr="0050533F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i w:val="0"/>
                <w:sz w:val="24"/>
                <w:szCs w:val="24"/>
                <w:lang w:eastAsia="en-US"/>
              </w:rPr>
              <w:t>инёв</w:t>
            </w:r>
            <w:proofErr w:type="spellEnd"/>
            <w:r>
              <w:rPr>
                <w:i w:val="0"/>
                <w:sz w:val="24"/>
                <w:szCs w:val="24"/>
                <w:lang w:eastAsia="en-US"/>
              </w:rPr>
              <w:t xml:space="preserve"> Луг</w:t>
            </w:r>
            <w:r w:rsidR="005C2997">
              <w:rPr>
                <w:i w:val="0"/>
                <w:sz w:val="24"/>
                <w:szCs w:val="24"/>
                <w:lang w:eastAsia="en-US"/>
              </w:rPr>
              <w:t xml:space="preserve"> у </w:t>
            </w:r>
            <w:r>
              <w:rPr>
                <w:i w:val="0"/>
                <w:sz w:val="24"/>
                <w:szCs w:val="24"/>
                <w:lang w:eastAsia="en-US"/>
              </w:rPr>
              <w:t xml:space="preserve">д. № 120 </w:t>
            </w:r>
          </w:p>
        </w:tc>
      </w:tr>
      <w:tr w:rsidR="0050533F" w:rsidTr="0050533F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jc w:val="center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1234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Кересть</w:t>
            </w:r>
            <w:proofErr w:type="spellEnd"/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ул. Центральная д. № 23 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(у магазина РАЙПО) </w:t>
            </w:r>
          </w:p>
        </w:tc>
      </w:tr>
      <w:tr w:rsidR="0050533F" w:rsidTr="0050533F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пос. Тёсово-Нетыльский (пос. 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Пятилипы</w:t>
            </w:r>
            <w:proofErr w:type="spellEnd"/>
            <w:r>
              <w:rPr>
                <w:i w:val="0"/>
                <w:sz w:val="24"/>
                <w:szCs w:val="24"/>
                <w:lang w:eastAsia="en-US"/>
              </w:rPr>
              <w:t xml:space="preserve">) 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 пилорамы</w:t>
            </w:r>
          </w:p>
        </w:tc>
      </w:tr>
      <w:tr w:rsidR="0050533F" w:rsidTr="0050533F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jc w:val="center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1235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д. Село-Гора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ул. Черепанова у магазина РАЙПО </w:t>
            </w:r>
          </w:p>
        </w:tc>
      </w:tr>
      <w:tr w:rsidR="0050533F" w:rsidTr="0050533F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Осия</w:t>
            </w:r>
            <w:proofErr w:type="spellEnd"/>
          </w:p>
          <w:p w:rsidR="0050533F" w:rsidRDefault="0050533F">
            <w:pPr>
              <w:spacing w:line="240" w:lineRule="exact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 здания конторы «Новгородский бекон»</w:t>
            </w:r>
            <w:r>
              <w:rPr>
                <w:b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533F" w:rsidTr="0050533F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д. Большое Замошье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 д. № 9 </w:t>
            </w:r>
          </w:p>
        </w:tc>
      </w:tr>
      <w:tr w:rsidR="0050533F" w:rsidTr="0050533F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д. Долгово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 д. № 12 </w:t>
            </w:r>
          </w:p>
        </w:tc>
      </w:tr>
      <w:tr w:rsidR="0050533F" w:rsidTr="0050533F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3F" w:rsidRDefault="0050533F">
            <w:pPr>
              <w:rPr>
                <w:b/>
                <w:i w:val="0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Пятилипы</w:t>
            </w:r>
            <w:proofErr w:type="spellEnd"/>
          </w:p>
          <w:p w:rsidR="0050533F" w:rsidRDefault="0050533F">
            <w:pPr>
              <w:spacing w:line="240" w:lineRule="exact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у магазина РАЙПО</w:t>
            </w:r>
            <w:r>
              <w:rPr>
                <w:b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533F" w:rsidTr="0050533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jc w:val="center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1236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информационный щит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Тёсовский</w:t>
            </w:r>
            <w:proofErr w:type="spellEnd"/>
            <w:r>
              <w:rPr>
                <w:i w:val="0"/>
                <w:sz w:val="24"/>
                <w:szCs w:val="24"/>
                <w:lang w:eastAsia="en-US"/>
              </w:rPr>
              <w:t>,</w:t>
            </w:r>
          </w:p>
          <w:p w:rsidR="0050533F" w:rsidRDefault="0050533F">
            <w:pPr>
              <w:spacing w:line="240" w:lineRule="exact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i w:val="0"/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i w:val="0"/>
                <w:sz w:val="24"/>
                <w:szCs w:val="24"/>
                <w:lang w:eastAsia="en-US"/>
              </w:rPr>
              <w:t>, д. № 16 (у здания почты)</w:t>
            </w:r>
          </w:p>
        </w:tc>
      </w:tr>
    </w:tbl>
    <w:p w:rsidR="0050533F" w:rsidRDefault="0050533F" w:rsidP="0050533F">
      <w:pPr>
        <w:rPr>
          <w:i w:val="0"/>
        </w:rPr>
      </w:pPr>
    </w:p>
    <w:p w:rsidR="001A765F" w:rsidRDefault="001A765F"/>
    <w:sectPr w:rsidR="001A765F" w:rsidSect="001A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0533F"/>
    <w:rsid w:val="0005553A"/>
    <w:rsid w:val="000E337D"/>
    <w:rsid w:val="00170818"/>
    <w:rsid w:val="001A765F"/>
    <w:rsid w:val="001C72F6"/>
    <w:rsid w:val="002536A3"/>
    <w:rsid w:val="00324FC7"/>
    <w:rsid w:val="003E7F4D"/>
    <w:rsid w:val="0050533F"/>
    <w:rsid w:val="005C2997"/>
    <w:rsid w:val="00790967"/>
    <w:rsid w:val="007C2431"/>
    <w:rsid w:val="00925F56"/>
    <w:rsid w:val="00A77905"/>
    <w:rsid w:val="00AD7B74"/>
    <w:rsid w:val="00C5785D"/>
    <w:rsid w:val="00FB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3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6</cp:revision>
  <cp:lastPrinted>2022-07-04T14:07:00Z</cp:lastPrinted>
  <dcterms:created xsi:type="dcterms:W3CDTF">2021-08-03T08:09:00Z</dcterms:created>
  <dcterms:modified xsi:type="dcterms:W3CDTF">2022-07-04T14:14:00Z</dcterms:modified>
</cp:coreProperties>
</file>