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FFB" w:rsidRDefault="009B0FFB" w:rsidP="009B0FFB">
      <w:pPr>
        <w:rPr>
          <w:sz w:val="28"/>
          <w:szCs w:val="28"/>
        </w:rPr>
      </w:pPr>
      <w:r w:rsidRPr="00CD7814">
        <w:rPr>
          <w:sz w:val="28"/>
          <w:szCs w:val="28"/>
        </w:rPr>
        <w:t xml:space="preserve">                                                                                                        </w:t>
      </w:r>
      <w:r>
        <w:rPr>
          <w:sz w:val="28"/>
          <w:szCs w:val="28"/>
        </w:rPr>
        <w:t xml:space="preserve">                                   </w:t>
      </w:r>
    </w:p>
    <w:p w:rsidR="009B0FFB" w:rsidRPr="00CD7814" w:rsidRDefault="009B0FFB" w:rsidP="009B0FFB">
      <w:pPr>
        <w:rPr>
          <w:sz w:val="28"/>
          <w:szCs w:val="28"/>
        </w:rPr>
      </w:pPr>
      <w:r>
        <w:rPr>
          <w:sz w:val="28"/>
          <w:szCs w:val="28"/>
        </w:rPr>
        <w:t xml:space="preserve">                                                    </w:t>
      </w:r>
      <w:r w:rsidRPr="00CD7814">
        <w:rPr>
          <w:sz w:val="28"/>
          <w:szCs w:val="28"/>
        </w:rPr>
        <w:t>Приложение 8</w:t>
      </w:r>
    </w:p>
    <w:p w:rsidR="009B0FFB" w:rsidRDefault="009B0FFB" w:rsidP="009B0FFB">
      <w:r>
        <w:rPr>
          <w:sz w:val="20"/>
        </w:rPr>
        <w:t xml:space="preserve">                                                                         </w:t>
      </w:r>
      <w:r>
        <w:t>к решению Совета депутатов Тёсово-Нетыльского</w:t>
      </w:r>
    </w:p>
    <w:p w:rsidR="009B0FFB" w:rsidRDefault="009B0FFB" w:rsidP="009B0FFB">
      <w:r>
        <w:t xml:space="preserve">                                                             городского поселения от 30.11.2010 №14 </w:t>
      </w:r>
    </w:p>
    <w:p w:rsidR="009B0FFB" w:rsidRDefault="009B0FFB" w:rsidP="009B0FFB">
      <w:r>
        <w:t xml:space="preserve">                                                             «О бюджете Тёсово-Нетыльского городского </w:t>
      </w:r>
    </w:p>
    <w:p w:rsidR="009B0FFB" w:rsidRDefault="009B0FFB" w:rsidP="009B0FFB">
      <w:r>
        <w:t xml:space="preserve">                                                             поселения на 2011 год и на плановый период до 2013 года»</w:t>
      </w:r>
    </w:p>
    <w:p w:rsidR="009B0FFB" w:rsidRDefault="009B0FFB" w:rsidP="009B0FFB">
      <w:r>
        <w:t xml:space="preserve">                                                                                                                                                                                                                                                                                                                                                                                                                                                                                  </w:t>
      </w:r>
    </w:p>
    <w:p w:rsidR="009B0FFB" w:rsidRDefault="009B0FFB" w:rsidP="009B0FFB">
      <w:pPr>
        <w:jc w:val="center"/>
      </w:pPr>
      <w:r>
        <w:t xml:space="preserve">                                                           </w:t>
      </w:r>
    </w:p>
    <w:p w:rsidR="009B0FFB" w:rsidRDefault="009B0FFB" w:rsidP="009B0FFB">
      <w:pPr>
        <w:jc w:val="right"/>
      </w:pPr>
      <w:r>
        <w:t xml:space="preserve">                                                                     </w:t>
      </w:r>
    </w:p>
    <w:p w:rsidR="009B0FFB" w:rsidRDefault="009B0FFB" w:rsidP="009B0FFB">
      <w:pPr>
        <w:jc w:val="both"/>
      </w:pPr>
      <w:r>
        <w:t xml:space="preserve">                                        </w:t>
      </w:r>
    </w:p>
    <w:p w:rsidR="009B0FFB" w:rsidRDefault="009B0FFB" w:rsidP="009B0FFB">
      <w:pPr>
        <w:jc w:val="both"/>
        <w:rPr>
          <w:b/>
          <w:sz w:val="28"/>
        </w:rPr>
      </w:pPr>
    </w:p>
    <w:p w:rsidR="009B0FFB" w:rsidRDefault="009B0FFB" w:rsidP="009B0FFB">
      <w:pPr>
        <w:jc w:val="center"/>
        <w:rPr>
          <w:b/>
          <w:sz w:val="36"/>
        </w:rPr>
      </w:pPr>
      <w:r>
        <w:rPr>
          <w:b/>
          <w:sz w:val="36"/>
        </w:rPr>
        <w:t>Перечень главных (федеральных) администраторов доходов бюджета муниципального образования.</w:t>
      </w:r>
    </w:p>
    <w:p w:rsidR="009B0FFB" w:rsidRDefault="009B0FFB" w:rsidP="009B0FFB">
      <w:pPr>
        <w:jc w:val="both"/>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060"/>
        <w:gridCol w:w="6606"/>
      </w:tblGrid>
      <w:tr w:rsidR="009B0FFB" w:rsidTr="00B31C46">
        <w:tblPrEx>
          <w:tblCellMar>
            <w:top w:w="0" w:type="dxa"/>
            <w:bottom w:w="0" w:type="dxa"/>
          </w:tblCellMar>
        </w:tblPrEx>
        <w:tc>
          <w:tcPr>
            <w:tcW w:w="3708" w:type="dxa"/>
            <w:gridSpan w:val="2"/>
          </w:tcPr>
          <w:p w:rsidR="009B0FFB" w:rsidRDefault="009B0FFB" w:rsidP="00B31C46">
            <w:pPr>
              <w:jc w:val="both"/>
              <w:rPr>
                <w:b/>
                <w:sz w:val="28"/>
              </w:rPr>
            </w:pPr>
          </w:p>
        </w:tc>
        <w:tc>
          <w:tcPr>
            <w:tcW w:w="6606" w:type="dxa"/>
          </w:tcPr>
          <w:p w:rsidR="009B0FFB" w:rsidRDefault="009B0FFB" w:rsidP="00B31C46">
            <w:pPr>
              <w:jc w:val="both"/>
              <w:rPr>
                <w:b/>
                <w:sz w:val="32"/>
              </w:rPr>
            </w:pPr>
            <w:r>
              <w:rPr>
                <w:b/>
                <w:sz w:val="32"/>
              </w:rPr>
              <w:t>МИ ФНС России № 9 по Новгородской области</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1 01 02010 01 0000 110</w:t>
            </w:r>
          </w:p>
        </w:tc>
        <w:tc>
          <w:tcPr>
            <w:tcW w:w="6606" w:type="dxa"/>
          </w:tcPr>
          <w:p w:rsidR="009B0FFB" w:rsidRDefault="009B0FFB" w:rsidP="00B31C46">
            <w:pPr>
              <w:jc w:val="both"/>
              <w:rPr>
                <w:sz w:val="28"/>
              </w:rPr>
            </w:pPr>
            <w:r>
              <w:rPr>
                <w:sz w:val="28"/>
              </w:rPr>
              <w:t>Налог на доходы физических лиц с доходов, полученных в виде дивидендов от долевого участия в деятельности организаций</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1 01 02020 01 0000110</w:t>
            </w:r>
          </w:p>
        </w:tc>
        <w:tc>
          <w:tcPr>
            <w:tcW w:w="6606" w:type="dxa"/>
          </w:tcPr>
          <w:p w:rsidR="009B0FFB" w:rsidRDefault="009B0FFB" w:rsidP="00B31C46">
            <w:pPr>
              <w:jc w:val="both"/>
              <w:rPr>
                <w:sz w:val="28"/>
              </w:rPr>
            </w:pPr>
            <w:r>
              <w:rPr>
                <w:sz w:val="28"/>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1 01 02021 01 0000 110</w:t>
            </w:r>
          </w:p>
        </w:tc>
        <w:tc>
          <w:tcPr>
            <w:tcW w:w="6606" w:type="dxa"/>
          </w:tcPr>
          <w:p w:rsidR="009B0FFB" w:rsidRDefault="009B0FFB" w:rsidP="00B31C46">
            <w:pPr>
              <w:jc w:val="both"/>
              <w:rPr>
                <w:sz w:val="28"/>
              </w:rPr>
            </w:pPr>
            <w:proofErr w:type="gramStart"/>
            <w:r>
              <w:rPr>
                <w:sz w:val="28"/>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1 01 02022 01 0000 110</w:t>
            </w:r>
          </w:p>
        </w:tc>
        <w:tc>
          <w:tcPr>
            <w:tcW w:w="6606" w:type="dxa"/>
          </w:tcPr>
          <w:p w:rsidR="009B0FFB" w:rsidRDefault="009B0FFB" w:rsidP="00B31C46">
            <w:pPr>
              <w:jc w:val="both"/>
              <w:rPr>
                <w:sz w:val="28"/>
              </w:rPr>
            </w:pPr>
            <w:proofErr w:type="gramStart"/>
            <w:r>
              <w:rPr>
                <w:sz w:val="28"/>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roofErr w:type="gramEnd"/>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1 01 02030 01 0000 110</w:t>
            </w:r>
          </w:p>
        </w:tc>
        <w:tc>
          <w:tcPr>
            <w:tcW w:w="6606" w:type="dxa"/>
          </w:tcPr>
          <w:p w:rsidR="009B0FFB" w:rsidRDefault="009B0FFB" w:rsidP="00B31C46">
            <w:pPr>
              <w:jc w:val="both"/>
              <w:rPr>
                <w:sz w:val="28"/>
              </w:rPr>
            </w:pPr>
            <w:r>
              <w:rPr>
                <w:sz w:val="28"/>
              </w:rPr>
              <w:t>Налоговые доходы физических лиц с доходов, полученных физическими лицами, не являющимися налоговыми резидентами Российской Федерации.</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1 01 02040 01 0000 110</w:t>
            </w:r>
          </w:p>
        </w:tc>
        <w:tc>
          <w:tcPr>
            <w:tcW w:w="6606" w:type="dxa"/>
          </w:tcPr>
          <w:p w:rsidR="009B0FFB" w:rsidRDefault="009B0FFB" w:rsidP="00B31C46">
            <w:pPr>
              <w:jc w:val="both"/>
              <w:rPr>
                <w:sz w:val="28"/>
              </w:rPr>
            </w:pPr>
            <w:proofErr w:type="gramStart"/>
            <w:r>
              <w:rPr>
                <w:sz w:val="28"/>
              </w:rPr>
              <w:t xml:space="preserve">Налог на доходы физических лиц с доходов, полученных в виде выигрышей и призов в </w:t>
            </w:r>
            <w:r>
              <w:rPr>
                <w:sz w:val="28"/>
              </w:rPr>
              <w:lastRenderedPageBreak/>
              <w:t>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w:t>
            </w:r>
            <w:proofErr w:type="gramEnd"/>
            <w:r>
              <w:rPr>
                <w:sz w:val="28"/>
              </w:rPr>
              <w:t xml:space="preserve"> банках </w:t>
            </w:r>
            <w:proofErr w:type="gramStart"/>
            <w:r>
              <w:rPr>
                <w:sz w:val="28"/>
              </w:rPr>
              <w:t xml:space="preserve">( </w:t>
            </w:r>
            <w:proofErr w:type="gramEnd"/>
            <w:r>
              <w:rPr>
                <w:sz w:val="28"/>
              </w:rPr>
              <w:t>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lastRenderedPageBreak/>
              <w:t>182</w:t>
            </w:r>
          </w:p>
        </w:tc>
        <w:tc>
          <w:tcPr>
            <w:tcW w:w="3060" w:type="dxa"/>
          </w:tcPr>
          <w:p w:rsidR="009B0FFB" w:rsidRDefault="009B0FFB" w:rsidP="00B31C46">
            <w:pPr>
              <w:jc w:val="both"/>
              <w:rPr>
                <w:sz w:val="28"/>
              </w:rPr>
            </w:pPr>
            <w:r>
              <w:rPr>
                <w:sz w:val="28"/>
              </w:rPr>
              <w:t>1 01 02050 01 0000 110</w:t>
            </w:r>
          </w:p>
        </w:tc>
        <w:tc>
          <w:tcPr>
            <w:tcW w:w="6606" w:type="dxa"/>
          </w:tcPr>
          <w:p w:rsidR="009B0FFB" w:rsidRDefault="009B0FFB" w:rsidP="00B31C46">
            <w:pPr>
              <w:jc w:val="both"/>
              <w:rPr>
                <w:sz w:val="28"/>
              </w:rPr>
            </w:pPr>
            <w:r>
              <w:rPr>
                <w:sz w:val="28"/>
              </w:rPr>
              <w:t>Налог на доходы физических лиц с доходов, полученных в виде процентов по облигациям с ипотечным покрытием, эмитированным до 1 января 2007 года, а также с доходов учредителей доверительного управления ипотечным покрытием, полученных на основании приобретения ипотечных сертификатов участия, выданных управляющим ипотечным покрытием до 1 января 2007 года.</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1 05 03000 01 0000 110</w:t>
            </w:r>
          </w:p>
        </w:tc>
        <w:tc>
          <w:tcPr>
            <w:tcW w:w="6606" w:type="dxa"/>
          </w:tcPr>
          <w:p w:rsidR="009B0FFB" w:rsidRDefault="009B0FFB" w:rsidP="00B31C46">
            <w:pPr>
              <w:jc w:val="both"/>
              <w:rPr>
                <w:sz w:val="28"/>
              </w:rPr>
            </w:pPr>
            <w:r>
              <w:rPr>
                <w:sz w:val="28"/>
              </w:rPr>
              <w:t>Единый сельскохозяйственный налог</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1 06 01030 10 0000 110</w:t>
            </w:r>
          </w:p>
        </w:tc>
        <w:tc>
          <w:tcPr>
            <w:tcW w:w="6606" w:type="dxa"/>
          </w:tcPr>
          <w:p w:rsidR="009B0FFB" w:rsidRDefault="009B0FFB" w:rsidP="00B31C46">
            <w:pPr>
              <w:jc w:val="both"/>
              <w:rPr>
                <w:sz w:val="28"/>
              </w:rPr>
            </w:pPr>
            <w:r>
              <w:rPr>
                <w:sz w:val="28"/>
              </w:rPr>
              <w:t xml:space="preserve">Налог на имущество физических лиц, взимаемый по ставкам, применяемым к объектам налогообложения, расположенным в границах поселений </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1 06 06013 10 0000 110</w:t>
            </w:r>
          </w:p>
        </w:tc>
        <w:tc>
          <w:tcPr>
            <w:tcW w:w="6606" w:type="dxa"/>
          </w:tcPr>
          <w:p w:rsidR="009B0FFB" w:rsidRDefault="009B0FFB" w:rsidP="00B31C46">
            <w:pPr>
              <w:jc w:val="both"/>
              <w:rPr>
                <w:sz w:val="28"/>
              </w:rPr>
            </w:pPr>
            <w:r>
              <w:rPr>
                <w:sz w:val="28"/>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r>
      <w:tr w:rsidR="009B0FFB" w:rsidTr="00B31C46">
        <w:tblPrEx>
          <w:tblCellMar>
            <w:top w:w="0" w:type="dxa"/>
            <w:bottom w:w="0" w:type="dxa"/>
          </w:tblCellMar>
        </w:tblPrEx>
        <w:tc>
          <w:tcPr>
            <w:tcW w:w="648" w:type="dxa"/>
          </w:tcPr>
          <w:p w:rsidR="009B0FFB" w:rsidRDefault="009B0FFB" w:rsidP="00B31C46">
            <w:pPr>
              <w:jc w:val="both"/>
              <w:rPr>
                <w:sz w:val="28"/>
              </w:rPr>
            </w:pPr>
            <w:r>
              <w:rPr>
                <w:sz w:val="28"/>
              </w:rPr>
              <w:t>182</w:t>
            </w:r>
          </w:p>
        </w:tc>
        <w:tc>
          <w:tcPr>
            <w:tcW w:w="3060" w:type="dxa"/>
          </w:tcPr>
          <w:p w:rsidR="009B0FFB" w:rsidRDefault="009B0FFB" w:rsidP="00B31C46">
            <w:pPr>
              <w:jc w:val="both"/>
              <w:rPr>
                <w:sz w:val="28"/>
              </w:rPr>
            </w:pPr>
            <w:r>
              <w:rPr>
                <w:sz w:val="28"/>
              </w:rPr>
              <w:t>1 06 06023 10 0000 110</w:t>
            </w:r>
          </w:p>
        </w:tc>
        <w:tc>
          <w:tcPr>
            <w:tcW w:w="6606" w:type="dxa"/>
          </w:tcPr>
          <w:p w:rsidR="009B0FFB" w:rsidRDefault="009B0FFB" w:rsidP="00B31C46">
            <w:pPr>
              <w:jc w:val="both"/>
              <w:rPr>
                <w:sz w:val="28"/>
              </w:rPr>
            </w:pPr>
            <w:r>
              <w:rPr>
                <w:sz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r>
    </w:tbl>
    <w:p w:rsidR="009B0FFB" w:rsidRDefault="009B0FFB" w:rsidP="009B0FFB">
      <w:pPr>
        <w:jc w:val="both"/>
        <w:rPr>
          <w:sz w:val="28"/>
        </w:rPr>
      </w:pPr>
    </w:p>
    <w:p w:rsidR="00294D2E" w:rsidRPr="009B0FFB" w:rsidRDefault="00294D2E" w:rsidP="009B0FFB"/>
    <w:sectPr w:rsidR="00294D2E" w:rsidRPr="009B0FFB"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A160AC"/>
    <w:rsid w:val="001D399D"/>
    <w:rsid w:val="00294D2E"/>
    <w:rsid w:val="004E38D1"/>
    <w:rsid w:val="004F58EE"/>
    <w:rsid w:val="006E4BD6"/>
    <w:rsid w:val="009B0FFB"/>
    <w:rsid w:val="00A160AC"/>
    <w:rsid w:val="00A561AD"/>
    <w:rsid w:val="00D35BC2"/>
    <w:rsid w:val="00E86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3841</Characters>
  <Application>Microsoft Office Word</Application>
  <DocSecurity>0</DocSecurity>
  <Lines>32</Lines>
  <Paragraphs>9</Paragraphs>
  <ScaleCrop>false</ScaleCrop>
  <Company>Krokoz™</Company>
  <LinksUpToDate>false</LinksUpToDate>
  <CharactersWithSpaces>4505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2015-10-15T13:24:00Z</dcterms:created>
  <dcterms:modified xsi:type="dcterms:W3CDTF">2015-10-15T13:24:00Z</dcterms:modified>
</cp:coreProperties>
</file>