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A3" w:rsidRPr="00A93C18" w:rsidRDefault="00964DA3" w:rsidP="00964DA3">
      <w:pPr>
        <w:jc w:val="center"/>
        <w:rPr>
          <w:b/>
          <w:sz w:val="20"/>
        </w:rPr>
      </w:pPr>
      <w:r w:rsidRPr="00A93C18">
        <w:rPr>
          <w:b/>
          <w:sz w:val="20"/>
        </w:rPr>
        <w:t xml:space="preserve">           </w:t>
      </w:r>
      <w:r>
        <w:rPr>
          <w:b/>
          <w:sz w:val="20"/>
        </w:rPr>
        <w:t xml:space="preserve">                                                                                                                                   </w:t>
      </w:r>
      <w:r w:rsidRPr="00A93C18">
        <w:rPr>
          <w:b/>
          <w:sz w:val="20"/>
        </w:rPr>
        <w:t xml:space="preserve">                                                                  </w:t>
      </w:r>
    </w:p>
    <w:p w:rsidR="00964DA3" w:rsidRPr="00B43CB0" w:rsidRDefault="00964DA3" w:rsidP="00964DA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</w:t>
      </w:r>
      <w:r w:rsidRPr="00B43CB0">
        <w:rPr>
          <w:sz w:val="20"/>
        </w:rPr>
        <w:t xml:space="preserve">   </w:t>
      </w:r>
      <w:r>
        <w:rPr>
          <w:sz w:val="20"/>
        </w:rPr>
        <w:t xml:space="preserve">                                                                                Приложение № 2</w:t>
      </w:r>
    </w:p>
    <w:p w:rsidR="00964DA3" w:rsidRDefault="00964DA3" w:rsidP="00964DA3">
      <w:pPr>
        <w:jc w:val="right"/>
      </w:pPr>
      <w:r>
        <w:rPr>
          <w:sz w:val="20"/>
        </w:rPr>
        <w:t xml:space="preserve">                                                                                              </w:t>
      </w:r>
      <w:r>
        <w:t>к решению Совета депутатов</w:t>
      </w:r>
    </w:p>
    <w:p w:rsidR="00964DA3" w:rsidRDefault="00964DA3" w:rsidP="00964DA3">
      <w:pPr>
        <w:jc w:val="right"/>
      </w:pPr>
      <w:r>
        <w:t xml:space="preserve">                                                                                 Тёсово-Нетыльского городского</w:t>
      </w:r>
    </w:p>
    <w:p w:rsidR="00964DA3" w:rsidRDefault="00964DA3" w:rsidP="00964DA3">
      <w:pPr>
        <w:jc w:val="right"/>
      </w:pPr>
      <w:r>
        <w:t xml:space="preserve">                                                                              поселения  от 30.08.2012 №92   </w:t>
      </w:r>
    </w:p>
    <w:p w:rsidR="00964DA3" w:rsidRDefault="00964DA3" w:rsidP="00964DA3">
      <w:pPr>
        <w:jc w:val="right"/>
      </w:pPr>
      <w:r>
        <w:t xml:space="preserve">                                                                                            «О бюджете Тёсово-Нетыльского</w:t>
      </w:r>
    </w:p>
    <w:p w:rsidR="00964DA3" w:rsidRDefault="00964DA3" w:rsidP="00964DA3">
      <w:pPr>
        <w:jc w:val="right"/>
      </w:pPr>
      <w:r>
        <w:t xml:space="preserve">                                                                                            городского поселения на 2012 год           </w:t>
      </w:r>
    </w:p>
    <w:p w:rsidR="00964DA3" w:rsidRDefault="00964DA3" w:rsidP="00964DA3">
      <w:pPr>
        <w:jc w:val="right"/>
      </w:pPr>
      <w:r>
        <w:t xml:space="preserve">                                                                                            и на плановый период  до 2014 года»  </w:t>
      </w:r>
    </w:p>
    <w:p w:rsidR="00964DA3" w:rsidRPr="00CD5B55" w:rsidRDefault="00964DA3" w:rsidP="00964DA3">
      <w:pPr>
        <w:jc w:val="center"/>
      </w:pPr>
      <w:r>
        <w:t xml:space="preserve">                                                           </w:t>
      </w:r>
      <w:r>
        <w:rPr>
          <w:sz w:val="20"/>
        </w:rPr>
        <w:t xml:space="preserve">              </w:t>
      </w:r>
    </w:p>
    <w:p w:rsidR="00964DA3" w:rsidRDefault="00964DA3" w:rsidP="00964DA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</w:p>
    <w:p w:rsidR="00964DA3" w:rsidRPr="00CA4823" w:rsidRDefault="00964DA3" w:rsidP="00964DA3">
      <w:pPr>
        <w:jc w:val="center"/>
        <w:rPr>
          <w:sz w:val="20"/>
        </w:rPr>
      </w:pPr>
      <w:r>
        <w:t>Объем безвозмездных поступлений из бюджета района</w:t>
      </w:r>
    </w:p>
    <w:p w:rsidR="00964DA3" w:rsidRDefault="00964DA3" w:rsidP="00964DA3">
      <w:pPr>
        <w:jc w:val="center"/>
      </w:pPr>
      <w:r>
        <w:t>по Тёсово-Нетыльскому городскому поселению на 2012 год</w:t>
      </w:r>
    </w:p>
    <w:p w:rsidR="00964DA3" w:rsidRDefault="00964DA3" w:rsidP="00964DA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8"/>
        <w:gridCol w:w="2083"/>
      </w:tblGrid>
      <w:tr w:rsidR="00964DA3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964DA3" w:rsidRDefault="00964DA3" w:rsidP="00107225">
            <w:r>
              <w:t>Наименование статей</w:t>
            </w:r>
          </w:p>
        </w:tc>
        <w:tc>
          <w:tcPr>
            <w:tcW w:w="2083" w:type="dxa"/>
          </w:tcPr>
          <w:p w:rsidR="00964DA3" w:rsidRDefault="00964DA3" w:rsidP="00107225">
            <w:pPr>
              <w:jc w:val="center"/>
            </w:pPr>
            <w:r>
              <w:t>Сумма</w:t>
            </w:r>
          </w:p>
          <w:p w:rsidR="00964DA3" w:rsidRDefault="00964DA3" w:rsidP="0010722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964DA3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964DA3" w:rsidRDefault="00964DA3" w:rsidP="00107225">
            <w:r>
              <w:t>Субвенция бюджетам поселения на государственную регистрацию актов гражданского состояния</w:t>
            </w:r>
          </w:p>
        </w:tc>
        <w:tc>
          <w:tcPr>
            <w:tcW w:w="2083" w:type="dxa"/>
          </w:tcPr>
          <w:p w:rsidR="00964DA3" w:rsidRDefault="00964DA3" w:rsidP="00107225">
            <w:pPr>
              <w:jc w:val="center"/>
            </w:pPr>
          </w:p>
          <w:p w:rsidR="00964DA3" w:rsidRDefault="00964DA3" w:rsidP="00107225">
            <w:pPr>
              <w:jc w:val="center"/>
            </w:pPr>
            <w:r>
              <w:t>6</w:t>
            </w:r>
          </w:p>
        </w:tc>
      </w:tr>
      <w:tr w:rsidR="00964DA3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964DA3" w:rsidRDefault="00964DA3" w:rsidP="00107225">
            <w:r>
              <w:t>Субвенция бюджетам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964DA3" w:rsidRDefault="00964DA3" w:rsidP="00107225">
            <w:pPr>
              <w:jc w:val="center"/>
            </w:pPr>
          </w:p>
          <w:p w:rsidR="00964DA3" w:rsidRPr="00085D42" w:rsidRDefault="00964DA3" w:rsidP="00107225">
            <w:pPr>
              <w:jc w:val="center"/>
            </w:pPr>
            <w:r>
              <w:t>161</w:t>
            </w:r>
          </w:p>
        </w:tc>
      </w:tr>
      <w:tr w:rsidR="00964DA3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964DA3" w:rsidRDefault="00964DA3" w:rsidP="00107225">
            <w:r>
              <w:t>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организациям, предоставляющим коммунальные услуги по тарифам для населения, установленным органами исполнительной власти</w:t>
            </w:r>
          </w:p>
        </w:tc>
        <w:tc>
          <w:tcPr>
            <w:tcW w:w="2083" w:type="dxa"/>
          </w:tcPr>
          <w:p w:rsidR="00964DA3" w:rsidRDefault="00964DA3" w:rsidP="00107225">
            <w:pPr>
              <w:jc w:val="center"/>
            </w:pPr>
          </w:p>
          <w:p w:rsidR="00964DA3" w:rsidRDefault="00964DA3" w:rsidP="00107225">
            <w:pPr>
              <w:jc w:val="center"/>
            </w:pPr>
          </w:p>
          <w:p w:rsidR="00964DA3" w:rsidRPr="009A11C3" w:rsidRDefault="00964DA3" w:rsidP="00107225">
            <w:pPr>
              <w:jc w:val="center"/>
            </w:pPr>
            <w:r>
              <w:t>23 742</w:t>
            </w:r>
          </w:p>
        </w:tc>
      </w:tr>
      <w:tr w:rsidR="00964DA3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964DA3" w:rsidRDefault="00964DA3" w:rsidP="00107225">
            <w:r>
              <w:t>Дотация на выравнивание уровня бюджетной обеспеченности поселений</w:t>
            </w:r>
          </w:p>
        </w:tc>
        <w:tc>
          <w:tcPr>
            <w:tcW w:w="2083" w:type="dxa"/>
          </w:tcPr>
          <w:p w:rsidR="00964DA3" w:rsidRPr="00625B08" w:rsidRDefault="00964DA3" w:rsidP="00107225">
            <w:pPr>
              <w:jc w:val="center"/>
            </w:pPr>
            <w:r>
              <w:t>14 624,8</w:t>
            </w:r>
          </w:p>
        </w:tc>
      </w:tr>
      <w:tr w:rsidR="00964DA3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964DA3" w:rsidRDefault="00964DA3" w:rsidP="00107225">
            <w: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83" w:type="dxa"/>
          </w:tcPr>
          <w:p w:rsidR="00964DA3" w:rsidRDefault="00964DA3" w:rsidP="00107225">
            <w:pPr>
              <w:jc w:val="center"/>
            </w:pPr>
            <w:r>
              <w:t>164,00</w:t>
            </w:r>
          </w:p>
        </w:tc>
      </w:tr>
      <w:tr w:rsidR="00964DA3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964DA3" w:rsidRDefault="00964DA3" w:rsidP="00107225">
            <w:r>
              <w:t>Субсидия бюджетам поселений на сохранность и восстановление военных мемориальных объектов муниципальных образований Субсидия на поддержку городских и сельских поселений</w:t>
            </w:r>
          </w:p>
        </w:tc>
        <w:tc>
          <w:tcPr>
            <w:tcW w:w="2083" w:type="dxa"/>
          </w:tcPr>
          <w:p w:rsidR="00964DA3" w:rsidRDefault="00964DA3" w:rsidP="00107225">
            <w:pPr>
              <w:jc w:val="center"/>
            </w:pPr>
            <w:r>
              <w:t>20,00</w:t>
            </w:r>
          </w:p>
        </w:tc>
      </w:tr>
      <w:tr w:rsidR="00964DA3" w:rsidTr="0010722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488" w:type="dxa"/>
          </w:tcPr>
          <w:p w:rsidR="00964DA3" w:rsidRPr="00FA1771" w:rsidRDefault="00964DA3" w:rsidP="00107225">
            <w:pPr>
              <w:rPr>
                <w:color w:val="000000"/>
              </w:rPr>
            </w:pPr>
            <w:r>
              <w:rPr>
                <w:color w:val="000000"/>
              </w:rPr>
              <w:t>Субсидия бюджетам  поселений на профессиональную подготовку по программам высшего профессионального образования и повышения квалификации специалистов муниципальных учреждений, осуществляющие деятельность в сфере культуры</w:t>
            </w:r>
          </w:p>
        </w:tc>
        <w:tc>
          <w:tcPr>
            <w:tcW w:w="2083" w:type="dxa"/>
          </w:tcPr>
          <w:p w:rsidR="00964DA3" w:rsidRDefault="00964DA3" w:rsidP="00107225">
            <w:pPr>
              <w:jc w:val="center"/>
            </w:pPr>
            <w:r>
              <w:t>15,5</w:t>
            </w:r>
          </w:p>
        </w:tc>
      </w:tr>
      <w:tr w:rsidR="00964DA3" w:rsidTr="0010722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488" w:type="dxa"/>
          </w:tcPr>
          <w:p w:rsidR="00964DA3" w:rsidRDefault="00964DA3" w:rsidP="00107225">
            <w:r>
              <w:t>Субсидия на реализацию мероприятий областной целевой программы «Переселение граждан, проживающих на территории Новгородской области из многоквартирных домов, признанных аварийными и подлежащими сносу или реконструкции в 2010-2015гг.»</w:t>
            </w:r>
          </w:p>
        </w:tc>
        <w:tc>
          <w:tcPr>
            <w:tcW w:w="2083" w:type="dxa"/>
          </w:tcPr>
          <w:p w:rsidR="00964DA3" w:rsidRDefault="00964DA3" w:rsidP="00107225">
            <w:pPr>
              <w:jc w:val="center"/>
            </w:pPr>
            <w:r>
              <w:t>6 276,70</w:t>
            </w:r>
          </w:p>
        </w:tc>
      </w:tr>
      <w:tr w:rsidR="00964DA3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964DA3" w:rsidRPr="00985F51" w:rsidRDefault="00964DA3" w:rsidP="00107225">
            <w:r w:rsidRPr="00985F51">
              <w:t xml:space="preserve">Субсидия бюджетам поселений на </w:t>
            </w:r>
            <w: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083" w:type="dxa"/>
          </w:tcPr>
          <w:p w:rsidR="00964DA3" w:rsidRPr="00B00322" w:rsidRDefault="00964DA3" w:rsidP="00107225">
            <w:pPr>
              <w:jc w:val="center"/>
            </w:pPr>
            <w:r>
              <w:t>2812</w:t>
            </w:r>
            <w:r w:rsidRPr="00B00322">
              <w:t>,00</w:t>
            </w:r>
          </w:p>
        </w:tc>
      </w:tr>
      <w:tr w:rsidR="00964DA3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964DA3" w:rsidRPr="00985F51" w:rsidRDefault="00964DA3" w:rsidP="00107225">
            <w:r w:rsidRPr="00985F51">
              <w:t>Субсидия бюджетам поселений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3" w:type="dxa"/>
          </w:tcPr>
          <w:p w:rsidR="00964DA3" w:rsidRPr="00B00322" w:rsidRDefault="00964DA3" w:rsidP="00107225">
            <w:pPr>
              <w:jc w:val="center"/>
            </w:pPr>
            <w:r>
              <w:t>1262,00</w:t>
            </w:r>
          </w:p>
        </w:tc>
      </w:tr>
      <w:tr w:rsidR="00964DA3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964DA3" w:rsidRPr="00985F51" w:rsidRDefault="00964DA3" w:rsidP="00107225">
            <w:r>
              <w:t>Субсидия бюджетам поселений на организацию проведения работ по описанию местоположения границ населенных пунктов и внесению сведений о границах в государственный кадастр недвижимости в рамках реализации долгосрочной ОЦП «Государственная поддержка развития местного самоуправления в Новгородской области на 2012-2014 годы»</w:t>
            </w:r>
          </w:p>
        </w:tc>
        <w:tc>
          <w:tcPr>
            <w:tcW w:w="2083" w:type="dxa"/>
          </w:tcPr>
          <w:p w:rsidR="00964DA3" w:rsidRDefault="00964DA3" w:rsidP="00107225">
            <w:pPr>
              <w:jc w:val="center"/>
            </w:pPr>
            <w:r>
              <w:t>1,90</w:t>
            </w:r>
          </w:p>
        </w:tc>
      </w:tr>
      <w:tr w:rsidR="00964DA3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964DA3" w:rsidRDefault="00964DA3" w:rsidP="00107225">
            <w:pPr>
              <w:rPr>
                <w:b/>
              </w:rPr>
            </w:pPr>
            <w:r>
              <w:rPr>
                <w:b/>
              </w:rPr>
              <w:t>Всего безвозмездных поступлений</w:t>
            </w:r>
          </w:p>
        </w:tc>
        <w:tc>
          <w:tcPr>
            <w:tcW w:w="2083" w:type="dxa"/>
          </w:tcPr>
          <w:p w:rsidR="00964DA3" w:rsidRPr="00085D42" w:rsidRDefault="00964DA3" w:rsidP="00107225">
            <w:pPr>
              <w:jc w:val="center"/>
              <w:rPr>
                <w:b/>
              </w:rPr>
            </w:pPr>
            <w:r>
              <w:rPr>
                <w:b/>
              </w:rPr>
              <w:t>49085,90</w:t>
            </w:r>
          </w:p>
        </w:tc>
      </w:tr>
    </w:tbl>
    <w:p w:rsidR="00294D2E" w:rsidRPr="00964DA3" w:rsidRDefault="00294D2E" w:rsidP="00964DA3"/>
    <w:sectPr w:rsidR="00294D2E" w:rsidRPr="00964DA3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D3AEA"/>
    <w:rsid w:val="00294D2E"/>
    <w:rsid w:val="008C39E3"/>
    <w:rsid w:val="008D1C83"/>
    <w:rsid w:val="00964DA3"/>
    <w:rsid w:val="00CD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>Krokoz™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2015-10-17T13:26:00Z</dcterms:created>
  <dcterms:modified xsi:type="dcterms:W3CDTF">2015-10-17T13:26:00Z</dcterms:modified>
</cp:coreProperties>
</file>